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BC33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</w:rPr>
      </w:pPr>
    </w:p>
    <w:p w14:paraId="2668DD07" w14:textId="51455F1E" w:rsidR="003C15CA" w:rsidRPr="00B13084" w:rsidRDefault="003C15CA" w:rsidP="003C15CA">
      <w:pPr>
        <w:pStyle w:val="Default"/>
        <w:jc w:val="center"/>
        <w:rPr>
          <w:rFonts w:asciiTheme="minorHAnsi" w:hAnsiTheme="minorHAnsi" w:cstheme="minorHAnsi"/>
          <w:b/>
          <w:bCs/>
          <w:iCs/>
          <w:sz w:val="40"/>
          <w:szCs w:val="36"/>
        </w:rPr>
      </w:pPr>
      <w:r w:rsidRPr="00B13084">
        <w:rPr>
          <w:rFonts w:asciiTheme="minorHAnsi" w:hAnsiTheme="minorHAnsi" w:cstheme="minorHAnsi"/>
          <w:b/>
          <w:bCs/>
          <w:sz w:val="32"/>
          <w:szCs w:val="32"/>
        </w:rPr>
        <w:t>REGULAMIN KONKURSU ORGANIZOWANEGO W RAMACH AKCJI</w:t>
      </w:r>
      <w:r w:rsidRPr="00B13084">
        <w:rPr>
          <w:rFonts w:asciiTheme="minorHAnsi" w:hAnsiTheme="minorHAnsi" w:cstheme="minorHAnsi"/>
          <w:b/>
          <w:bCs/>
          <w:sz w:val="40"/>
          <w:szCs w:val="36"/>
        </w:rPr>
        <w:t xml:space="preserve"> </w:t>
      </w:r>
      <w:r w:rsidRPr="00B13084">
        <w:rPr>
          <w:rFonts w:asciiTheme="minorHAnsi" w:hAnsiTheme="minorHAnsi" w:cstheme="minorHAnsi"/>
          <w:b/>
          <w:bCs/>
          <w:iCs/>
          <w:sz w:val="40"/>
          <w:szCs w:val="36"/>
        </w:rPr>
        <w:t>GORĄCZKA ZŁOTA PCK</w:t>
      </w:r>
    </w:p>
    <w:p w14:paraId="52A0CF5C" w14:textId="7E3FED09" w:rsidR="00B13084" w:rsidRDefault="00B13084" w:rsidP="00B13084">
      <w:pPr>
        <w:pStyle w:val="Default"/>
        <w:rPr>
          <w:rFonts w:asciiTheme="minorHAnsi" w:hAnsiTheme="minorHAnsi" w:cstheme="minorHAnsi"/>
          <w:sz w:val="40"/>
          <w:szCs w:val="36"/>
        </w:rPr>
      </w:pPr>
    </w:p>
    <w:p w14:paraId="757572B2" w14:textId="77777777" w:rsidR="00B13084" w:rsidRPr="00B13084" w:rsidRDefault="00B13084" w:rsidP="003C15CA">
      <w:pPr>
        <w:pStyle w:val="Default"/>
        <w:jc w:val="center"/>
        <w:rPr>
          <w:rFonts w:asciiTheme="minorHAnsi" w:hAnsiTheme="minorHAnsi" w:cstheme="minorHAnsi"/>
          <w:sz w:val="40"/>
          <w:szCs w:val="36"/>
        </w:rPr>
      </w:pPr>
    </w:p>
    <w:p w14:paraId="1FF4099F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1. Cel konkursu </w:t>
      </w:r>
    </w:p>
    <w:p w14:paraId="7021D573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WSPARCIE DZIECI I MŁODZIEŻY, w tym między innymi: </w:t>
      </w:r>
    </w:p>
    <w:p w14:paraId="5D06A1EC" w14:textId="1A83CAC1" w:rsidR="003C15CA" w:rsidRPr="00B13084" w:rsidRDefault="00B13084" w:rsidP="00B13084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pozyskanie funduszy na wsparcie edukacyjne dzieci; </w:t>
      </w:r>
    </w:p>
    <w:p w14:paraId="627ED265" w14:textId="7A2A3304" w:rsidR="003C15CA" w:rsidRPr="00B13084" w:rsidRDefault="00B13084" w:rsidP="00B13084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pozyskanie funduszy na wypoczynek letni dla dzieci; </w:t>
      </w:r>
    </w:p>
    <w:p w14:paraId="365A499A" w14:textId="12F1C63A" w:rsidR="003C15CA" w:rsidRPr="00B13084" w:rsidRDefault="00B13084" w:rsidP="00B13084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pozyskanie funduszy na dofinansowanie ciepłych posiłków dla dzieci; </w:t>
      </w:r>
    </w:p>
    <w:p w14:paraId="40C67BC7" w14:textId="3A7C171B" w:rsidR="003C15CA" w:rsidRPr="00B13084" w:rsidRDefault="00B13084" w:rsidP="00B13084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uaktywnienie i uwrażliwienie społeczeństwa na krzywdę drugiego człowieka;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9874B2D" w14:textId="2306599C" w:rsidR="003C15CA" w:rsidRPr="00B13084" w:rsidRDefault="00B13084" w:rsidP="00B13084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promocja idei wolontariatu wśród mieszkańców. </w:t>
      </w:r>
    </w:p>
    <w:p w14:paraId="765BB491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8BD814" w14:textId="3A111383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2. Adresaci konkursu </w:t>
      </w:r>
    </w:p>
    <w:p w14:paraId="0EED31DD" w14:textId="695B20BB" w:rsidR="003C15CA" w:rsidRPr="00B13084" w:rsidRDefault="003C15CA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Konkurs przeznaczony jest dla mieszkańców </w:t>
      </w:r>
      <w:r w:rsidR="00EE68A7">
        <w:rPr>
          <w:rFonts w:asciiTheme="minorHAnsi" w:hAnsiTheme="minorHAnsi" w:cstheme="minorHAnsi"/>
          <w:sz w:val="22"/>
          <w:szCs w:val="22"/>
        </w:rPr>
        <w:t xml:space="preserve"> Województwa Mazowieckiego</w:t>
      </w:r>
      <w:r w:rsidRPr="00B13084">
        <w:rPr>
          <w:rFonts w:asciiTheme="minorHAnsi" w:hAnsiTheme="minorHAnsi" w:cstheme="minorHAnsi"/>
          <w:sz w:val="22"/>
          <w:szCs w:val="22"/>
        </w:rPr>
        <w:t xml:space="preserve"> Organizowany będzie w czterech kategoriach: </w:t>
      </w:r>
    </w:p>
    <w:p w14:paraId="3C9EA069" w14:textId="4F970A9A" w:rsidR="003C15CA" w:rsidRPr="00B13084" w:rsidRDefault="003C15CA" w:rsidP="00B13084">
      <w:pPr>
        <w:pStyle w:val="Default"/>
        <w:numPr>
          <w:ilvl w:val="0"/>
          <w:numId w:val="1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sz w:val="22"/>
          <w:szCs w:val="22"/>
        </w:rPr>
        <w:t xml:space="preserve">Złota Szkoła </w:t>
      </w:r>
      <w:r w:rsidRPr="00B13084">
        <w:rPr>
          <w:rFonts w:asciiTheme="minorHAnsi" w:hAnsiTheme="minorHAnsi" w:cstheme="minorHAnsi"/>
          <w:sz w:val="22"/>
          <w:szCs w:val="22"/>
        </w:rPr>
        <w:t xml:space="preserve">– skierowana do szkół podstawowych oraz szkół ponadpodstawowych zarówno publicznych, jak i niepublicznych znajdujących się na terenie </w:t>
      </w:r>
      <w:r w:rsidR="00AA1FFE">
        <w:rPr>
          <w:rFonts w:asciiTheme="minorHAnsi" w:hAnsiTheme="minorHAnsi" w:cstheme="minorHAnsi"/>
          <w:sz w:val="22"/>
          <w:szCs w:val="22"/>
        </w:rPr>
        <w:t xml:space="preserve">Województwa Mazowieckiego </w:t>
      </w:r>
      <w:r w:rsidRPr="00B13084">
        <w:rPr>
          <w:rFonts w:asciiTheme="minorHAnsi" w:hAnsiTheme="minorHAnsi" w:cstheme="minorHAnsi"/>
          <w:color w:val="1F1E1D"/>
          <w:sz w:val="22"/>
          <w:szCs w:val="22"/>
        </w:rPr>
        <w:t xml:space="preserve">oraz </w:t>
      </w:r>
      <w:r w:rsidRPr="00B13084">
        <w:rPr>
          <w:rFonts w:asciiTheme="minorHAnsi" w:hAnsiTheme="minorHAnsi" w:cstheme="minorHAnsi"/>
          <w:sz w:val="22"/>
          <w:szCs w:val="22"/>
        </w:rPr>
        <w:t>szkoły podlegające pod</w:t>
      </w:r>
      <w:r w:rsidR="000C28D7">
        <w:rPr>
          <w:rFonts w:asciiTheme="minorHAnsi" w:hAnsiTheme="minorHAnsi" w:cstheme="minorHAnsi"/>
          <w:sz w:val="22"/>
          <w:szCs w:val="22"/>
        </w:rPr>
        <w:t xml:space="preserve"> Mazowiecki </w:t>
      </w:r>
      <w:r w:rsidRPr="00B13084">
        <w:rPr>
          <w:rFonts w:asciiTheme="minorHAnsi" w:hAnsiTheme="minorHAnsi" w:cstheme="minorHAnsi"/>
          <w:sz w:val="22"/>
          <w:szCs w:val="22"/>
        </w:rPr>
        <w:t xml:space="preserve">Oddział Okręgowy PCK </w:t>
      </w:r>
    </w:p>
    <w:p w14:paraId="2C7CADAB" w14:textId="1062991E" w:rsidR="003C15CA" w:rsidRPr="00B13084" w:rsidRDefault="003C15CA" w:rsidP="00B13084">
      <w:pPr>
        <w:pStyle w:val="Default"/>
        <w:numPr>
          <w:ilvl w:val="0"/>
          <w:numId w:val="1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>Z</w:t>
      </w:r>
      <w:r w:rsidRPr="00B13084">
        <w:rPr>
          <w:rFonts w:asciiTheme="minorHAnsi" w:hAnsiTheme="minorHAnsi" w:cstheme="minorHAnsi"/>
          <w:b/>
          <w:sz w:val="22"/>
          <w:szCs w:val="22"/>
        </w:rPr>
        <w:t xml:space="preserve">łote Przedszkole </w:t>
      </w:r>
      <w:r w:rsidRPr="00B13084">
        <w:rPr>
          <w:rFonts w:asciiTheme="minorHAnsi" w:hAnsiTheme="minorHAnsi" w:cstheme="minorHAnsi"/>
          <w:sz w:val="22"/>
          <w:szCs w:val="22"/>
        </w:rPr>
        <w:t xml:space="preserve">– skierowana do przedszkoli zarówno publicznych, jak i niepublicznych na terenie </w:t>
      </w:r>
      <w:r w:rsidR="00AA1FFE">
        <w:rPr>
          <w:rFonts w:asciiTheme="minorHAnsi" w:hAnsiTheme="minorHAnsi" w:cstheme="minorHAnsi"/>
          <w:sz w:val="22"/>
          <w:szCs w:val="22"/>
        </w:rPr>
        <w:t>Województwa Mazowieckiego</w:t>
      </w:r>
    </w:p>
    <w:p w14:paraId="461F4493" w14:textId="39A4CA50" w:rsidR="003C15CA" w:rsidRPr="00B13084" w:rsidRDefault="003C15CA" w:rsidP="00B13084">
      <w:pPr>
        <w:pStyle w:val="Default"/>
        <w:numPr>
          <w:ilvl w:val="0"/>
          <w:numId w:val="1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sz w:val="22"/>
          <w:szCs w:val="22"/>
        </w:rPr>
        <w:t>Złota Firma/Instytucja</w:t>
      </w:r>
      <w:r w:rsidRPr="00B13084">
        <w:rPr>
          <w:rFonts w:asciiTheme="minorHAnsi" w:hAnsiTheme="minorHAnsi" w:cstheme="minorHAnsi"/>
          <w:sz w:val="22"/>
          <w:szCs w:val="22"/>
        </w:rPr>
        <w:t xml:space="preserve"> – skierowana do firm i instytucji działających na terenie </w:t>
      </w:r>
      <w:r w:rsidR="00AA1FFE">
        <w:rPr>
          <w:rFonts w:asciiTheme="minorHAnsi" w:hAnsiTheme="minorHAnsi" w:cstheme="minorHAnsi"/>
          <w:sz w:val="22"/>
          <w:szCs w:val="22"/>
        </w:rPr>
        <w:t>Województwa Mazowieckiego</w:t>
      </w:r>
      <w:bookmarkStart w:id="0" w:name="_GoBack"/>
      <w:bookmarkEnd w:id="0"/>
    </w:p>
    <w:p w14:paraId="389691DF" w14:textId="6CC8D313" w:rsidR="003C15CA" w:rsidRPr="00B13084" w:rsidRDefault="003C15CA" w:rsidP="00B13084">
      <w:pPr>
        <w:pStyle w:val="Default"/>
        <w:numPr>
          <w:ilvl w:val="0"/>
          <w:numId w:val="1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sz w:val="22"/>
          <w:szCs w:val="22"/>
        </w:rPr>
        <w:t>Złoty Człowiek</w:t>
      </w:r>
      <w:r w:rsidR="00B13084" w:rsidRPr="00B130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3084">
        <w:rPr>
          <w:rFonts w:asciiTheme="minorHAnsi" w:hAnsiTheme="minorHAnsi" w:cstheme="minorHAnsi"/>
          <w:b/>
          <w:sz w:val="22"/>
          <w:szCs w:val="22"/>
        </w:rPr>
        <w:t>–</w:t>
      </w:r>
      <w:r w:rsidRPr="00B13084">
        <w:rPr>
          <w:rFonts w:asciiTheme="minorHAnsi" w:hAnsiTheme="minorHAnsi" w:cstheme="minorHAnsi"/>
          <w:sz w:val="22"/>
          <w:szCs w:val="22"/>
        </w:rPr>
        <w:t xml:space="preserve"> kategoria indywidualna – skierowana do każdej osoby, która zgłosi się do udziału </w:t>
      </w:r>
      <w:r w:rsidR="00B13084">
        <w:rPr>
          <w:rFonts w:asciiTheme="minorHAnsi" w:hAnsiTheme="minorHAnsi" w:cstheme="minorHAnsi"/>
          <w:sz w:val="22"/>
          <w:szCs w:val="22"/>
        </w:rPr>
        <w:br/>
      </w:r>
      <w:r w:rsidRPr="00B13084">
        <w:rPr>
          <w:rFonts w:asciiTheme="minorHAnsi" w:hAnsiTheme="minorHAnsi" w:cstheme="minorHAnsi"/>
          <w:sz w:val="22"/>
          <w:szCs w:val="22"/>
        </w:rPr>
        <w:t xml:space="preserve">w konkursie poprzez wypełnienie stosownej deklaracji. </w:t>
      </w:r>
    </w:p>
    <w:p w14:paraId="0366E305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1FE37A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3. Organizator </w:t>
      </w:r>
    </w:p>
    <w:p w14:paraId="55CA3CB6" w14:textId="0D14476F" w:rsidR="003C15CA" w:rsidRPr="00B13084" w:rsidRDefault="000C28D7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Mazowiecki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Oddział Okręgowy Polskiego Czerwonego Krzyża, </w:t>
      </w:r>
      <w:proofErr w:type="spellStart"/>
      <w:r w:rsidR="003C15CA" w:rsidRPr="00B13084">
        <w:rPr>
          <w:rFonts w:asciiTheme="minorHAnsi" w:hAnsiTheme="minorHAnsi" w:cstheme="minorHAnsi"/>
          <w:sz w:val="22"/>
          <w:szCs w:val="22"/>
        </w:rPr>
        <w:t>ul.</w:t>
      </w:r>
      <w:r>
        <w:rPr>
          <w:rFonts w:asciiTheme="minorHAnsi" w:hAnsiTheme="minorHAnsi" w:cstheme="minorHAnsi"/>
          <w:sz w:val="22"/>
          <w:szCs w:val="22"/>
        </w:rPr>
        <w:t>Szańcowa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25, 01-458 Warszawa</w:t>
      </w:r>
    </w:p>
    <w:p w14:paraId="4A87E4C3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5FF417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23FBBC" w14:textId="40FB874B" w:rsidR="003C15CA" w:rsidRDefault="003C15CA" w:rsidP="003C15C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4. Patroni i partnerzy </w:t>
      </w:r>
    </w:p>
    <w:p w14:paraId="0C8231F9" w14:textId="77777777" w:rsidR="000C28D7" w:rsidRPr="00B13084" w:rsidRDefault="000C28D7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0AC14C" w14:textId="7FB43FAB" w:rsidR="003C15CA" w:rsidRPr="00B13084" w:rsidRDefault="000C28D7" w:rsidP="003C15CA">
      <w:pPr>
        <w:pStyle w:val="Default"/>
        <w:spacing w:after="169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adliner</w:t>
      </w:r>
      <w:proofErr w:type="spellEnd"/>
    </w:p>
    <w:p w14:paraId="0D511459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5. Terminarz konkursu </w:t>
      </w:r>
    </w:p>
    <w:p w14:paraId="7A864AE2" w14:textId="7EEDCBC5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- Ogłoszenie konkursu – </w:t>
      </w:r>
      <w:r w:rsidR="00D41CA0">
        <w:rPr>
          <w:rFonts w:asciiTheme="minorHAnsi" w:hAnsiTheme="minorHAnsi" w:cstheme="minorHAnsi"/>
          <w:b/>
          <w:bCs/>
          <w:sz w:val="22"/>
          <w:szCs w:val="22"/>
        </w:rPr>
        <w:t>styczeń</w:t>
      </w:r>
      <w:r w:rsidR="00FE2307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 roku </w:t>
      </w:r>
    </w:p>
    <w:p w14:paraId="0CF3B4EB" w14:textId="4E69B9B5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>- Zgłoszenia do konkursu–</w:t>
      </w:r>
      <w:r w:rsidR="00FE2307">
        <w:rPr>
          <w:rFonts w:asciiTheme="minorHAnsi" w:hAnsiTheme="minorHAnsi" w:cstheme="minorHAnsi"/>
          <w:sz w:val="22"/>
          <w:szCs w:val="22"/>
        </w:rPr>
        <w:t xml:space="preserve"> </w:t>
      </w:r>
      <w:r w:rsidR="00D41CA0">
        <w:rPr>
          <w:rFonts w:asciiTheme="minorHAnsi" w:hAnsiTheme="minorHAnsi" w:cstheme="minorHAnsi"/>
          <w:b/>
          <w:bCs/>
          <w:sz w:val="22"/>
          <w:szCs w:val="22"/>
        </w:rPr>
        <w:t>luty</w:t>
      </w:r>
      <w:r w:rsidR="00FE2307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 roku</w:t>
      </w:r>
    </w:p>
    <w:p w14:paraId="7C7055BD" w14:textId="14DB4966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- Zakończenie konkursu – </w:t>
      </w:r>
      <w:r w:rsidR="00FE2307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7C584D"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2307">
        <w:rPr>
          <w:rFonts w:asciiTheme="minorHAnsi" w:hAnsiTheme="minorHAnsi" w:cstheme="minorHAnsi"/>
          <w:b/>
          <w:bCs/>
          <w:sz w:val="22"/>
          <w:szCs w:val="22"/>
        </w:rPr>
        <w:t>maja 2025</w:t>
      </w: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 roku  </w:t>
      </w:r>
    </w:p>
    <w:p w14:paraId="7C96209A" w14:textId="5F54B698" w:rsidR="003C15CA" w:rsidRDefault="003C15CA" w:rsidP="00B1308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- Uroczyste podsumowanie konkursu – </w:t>
      </w:r>
      <w:r w:rsidR="00FE2307">
        <w:rPr>
          <w:rFonts w:asciiTheme="minorHAnsi" w:hAnsiTheme="minorHAnsi" w:cstheme="minorHAnsi"/>
          <w:b/>
          <w:bCs/>
          <w:sz w:val="22"/>
          <w:szCs w:val="22"/>
        </w:rPr>
        <w:t>czerwiec 2025</w:t>
      </w: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 roku </w:t>
      </w:r>
    </w:p>
    <w:p w14:paraId="0AF5A501" w14:textId="77777777" w:rsidR="00ED05A1" w:rsidRPr="00B13084" w:rsidRDefault="00ED05A1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BB1675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6. Zasady konkursu </w:t>
      </w:r>
    </w:p>
    <w:p w14:paraId="35596597" w14:textId="114C3918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3C15CA" w:rsidRPr="00B13084">
        <w:rPr>
          <w:rFonts w:asciiTheme="minorHAnsi" w:hAnsiTheme="minorHAnsi" w:cstheme="minorHAnsi"/>
          <w:sz w:val="22"/>
          <w:szCs w:val="22"/>
        </w:rPr>
        <w:t>Konkurs polega na zebraniu jak największej wagi „złotych” monet o nominałach 1 grosz, 2 grosze i 5 groszy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9B1897" w14:textId="5DB74B34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W ramach akcji nie należy przekazywać: monet zabrudzonych, bilonu PRL, obcej waluty, żetonów telefonicznych i innych przedmiotów niezwiązanych z zakresem konkursu. (Wszelkie zanieczyszczenia i obce przedmioty powodują blokadę/uszkodzenie maszyn banku). </w:t>
      </w:r>
    </w:p>
    <w:p w14:paraId="2396CB84" w14:textId="2075E303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Każdy, kto chce przystąpić do konkursu zobowiązany jest do</w:t>
      </w:r>
      <w:r w:rsidR="007C584D" w:rsidRPr="00B13084">
        <w:rPr>
          <w:rFonts w:asciiTheme="minorHAnsi" w:hAnsiTheme="minorHAnsi" w:cstheme="minorHAnsi"/>
          <w:sz w:val="22"/>
          <w:szCs w:val="22"/>
        </w:rPr>
        <w:t xml:space="preserve"> wysłania formularza zgłoszeniowego (załącznik numer 1) na adres mailowy</w:t>
      </w:r>
      <w:r w:rsidR="000C28D7">
        <w:rPr>
          <w:rFonts w:asciiTheme="minorHAnsi" w:hAnsiTheme="minorHAnsi" w:cstheme="minorHAnsi"/>
          <w:sz w:val="22"/>
          <w:szCs w:val="22"/>
        </w:rPr>
        <w:t xml:space="preserve"> </w:t>
      </w:r>
      <w:r w:rsidR="00A23E5D">
        <w:rPr>
          <w:rFonts w:asciiTheme="minorHAnsi" w:hAnsiTheme="minorHAnsi" w:cstheme="minorHAnsi"/>
          <w:b/>
          <w:sz w:val="22"/>
          <w:szCs w:val="22"/>
        </w:rPr>
        <w:t>warszawa@pck</w:t>
      </w:r>
      <w:r w:rsidR="000C28D7" w:rsidRPr="000C28D7">
        <w:rPr>
          <w:rFonts w:asciiTheme="minorHAnsi" w:hAnsiTheme="minorHAnsi" w:cstheme="minorHAnsi"/>
          <w:b/>
          <w:sz w:val="22"/>
          <w:szCs w:val="22"/>
        </w:rPr>
        <w:t>.pl</w:t>
      </w:r>
    </w:p>
    <w:p w14:paraId="6B0A4285" w14:textId="2A12F0C0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W kategorii </w:t>
      </w:r>
      <w:r w:rsidR="003C15CA" w:rsidRPr="00B13084">
        <w:rPr>
          <w:rFonts w:asciiTheme="minorHAnsi" w:hAnsiTheme="minorHAnsi" w:cstheme="minorHAnsi"/>
          <w:i/>
          <w:iCs/>
          <w:sz w:val="22"/>
          <w:szCs w:val="22"/>
        </w:rPr>
        <w:t xml:space="preserve">Złoty Człowiek 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mogą startować tylko osoby pełnoletnie. </w:t>
      </w:r>
    </w:p>
    <w:p w14:paraId="31C64F95" w14:textId="33098295" w:rsidR="003C15CA" w:rsidRPr="00B13084" w:rsidRDefault="00C307F2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B13084">
        <w:rPr>
          <w:rFonts w:asciiTheme="minorHAnsi" w:hAnsiTheme="minorHAnsi" w:cstheme="minorHAnsi"/>
          <w:sz w:val="22"/>
          <w:szCs w:val="22"/>
        </w:rPr>
        <w:t>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Zebrane monety należy samodzielnie dostarczyć do siedziby Oddziału PCK</w:t>
      </w:r>
      <w:r w:rsidR="00B13084">
        <w:rPr>
          <w:rFonts w:asciiTheme="minorHAnsi" w:hAnsiTheme="minorHAnsi" w:cstheme="minorHAnsi"/>
          <w:sz w:val="22"/>
          <w:szCs w:val="22"/>
        </w:rPr>
        <w:t>.</w:t>
      </w:r>
    </w:p>
    <w:p w14:paraId="1FE7E564" w14:textId="6E5A38B4" w:rsidR="003C15CA" w:rsidRPr="00B13084" w:rsidRDefault="00C307F2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B13084">
        <w:rPr>
          <w:rFonts w:asciiTheme="minorHAnsi" w:hAnsiTheme="minorHAnsi" w:cstheme="minorHAnsi"/>
          <w:sz w:val="22"/>
          <w:szCs w:val="22"/>
        </w:rPr>
        <w:t>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W przypadku dużych ilości prosimy o dostarczanie monet sukcesywnie (koniec marca, kwiecień, maj) – umożliwia to szybsze przekazanie bilonu do liczarni banku. </w:t>
      </w:r>
    </w:p>
    <w:p w14:paraId="1E57F423" w14:textId="0C2BCACB" w:rsidR="003C15CA" w:rsidRPr="00B13084" w:rsidRDefault="00C307F2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B13084">
        <w:rPr>
          <w:rFonts w:asciiTheme="minorHAnsi" w:hAnsiTheme="minorHAnsi" w:cstheme="minorHAnsi"/>
          <w:sz w:val="22"/>
          <w:szCs w:val="22"/>
        </w:rPr>
        <w:t>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Każdorazowo podczas przekazywania monet do PCK pracownik, w obecności uczestnika konkursu, waży bilon na wadze elektronicznej i zapisuje uzyskany wynik z dokładnością dwóch miejsc po przecinku. </w:t>
      </w:r>
    </w:p>
    <w:p w14:paraId="2F3DAF25" w14:textId="03552A41" w:rsidR="003C15CA" w:rsidRPr="00B13084" w:rsidRDefault="00C307F2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h</w:t>
      </w:r>
      <w:r w:rsidR="00B13084">
        <w:rPr>
          <w:rFonts w:asciiTheme="minorHAnsi" w:hAnsiTheme="minorHAnsi" w:cstheme="minorHAnsi"/>
          <w:sz w:val="22"/>
          <w:szCs w:val="22"/>
        </w:rPr>
        <w:t>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Po zważeniu monet, uczestnik otrzymuje potwierdzenie przekazania określonej ilości bilonu. </w:t>
      </w:r>
    </w:p>
    <w:p w14:paraId="6C74DC68" w14:textId="3C0AADFD" w:rsidR="003C15CA" w:rsidRPr="00B13084" w:rsidRDefault="00C307F2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B13084">
        <w:rPr>
          <w:rFonts w:asciiTheme="minorHAnsi" w:hAnsiTheme="minorHAnsi" w:cstheme="minorHAnsi"/>
          <w:sz w:val="22"/>
          <w:szCs w:val="22"/>
        </w:rPr>
        <w:t>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Na podstawie zsumowania wagi wszystkich przekazanych monet od uczestników konkursu w każdej z kategorii zostaną wyłonieni finaliści – trzy pierwsze miejsca w każdej z kategorii. </w:t>
      </w:r>
    </w:p>
    <w:p w14:paraId="5A3863F0" w14:textId="3F25577C" w:rsidR="003C15CA" w:rsidRPr="00B13084" w:rsidRDefault="00C307F2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B13084">
        <w:rPr>
          <w:rFonts w:asciiTheme="minorHAnsi" w:hAnsiTheme="minorHAnsi" w:cstheme="minorHAnsi"/>
          <w:sz w:val="22"/>
          <w:szCs w:val="22"/>
        </w:rPr>
        <w:t>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O wynikach konkursu poinformujemy finalistów konkursu drogą mailową lub telefoniczną do dnia</w:t>
      </w:r>
      <w:r w:rsidR="000C28D7">
        <w:rPr>
          <w:rFonts w:asciiTheme="minorHAnsi" w:hAnsiTheme="minorHAnsi" w:cstheme="minorHAnsi"/>
          <w:sz w:val="22"/>
          <w:szCs w:val="22"/>
        </w:rPr>
        <w:t xml:space="preserve"> 15 czerwca</w:t>
      </w:r>
    </w:p>
    <w:p w14:paraId="0EE78952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8BD7FE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7. Komisja konkursowa </w:t>
      </w:r>
    </w:p>
    <w:p w14:paraId="5D7C3C8E" w14:textId="6D0B2FA3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Nad przebiegiem konkursu czuwać będzie komisja konkursowa powołana przez Dyrektora Okręgowego PCK </w:t>
      </w:r>
      <w:r w:rsidR="00B13084">
        <w:rPr>
          <w:rFonts w:asciiTheme="minorHAnsi" w:hAnsiTheme="minorHAnsi" w:cstheme="minorHAnsi"/>
          <w:sz w:val="22"/>
          <w:szCs w:val="22"/>
        </w:rPr>
        <w:br/>
      </w:r>
      <w:r w:rsidRPr="00B13084">
        <w:rPr>
          <w:rFonts w:asciiTheme="minorHAnsi" w:hAnsiTheme="minorHAnsi" w:cstheme="minorHAnsi"/>
          <w:sz w:val="22"/>
          <w:szCs w:val="22"/>
        </w:rPr>
        <w:t xml:space="preserve">w skład, której będą wchodzić pracownicy biura. </w:t>
      </w:r>
    </w:p>
    <w:p w14:paraId="022C01BC" w14:textId="77777777" w:rsidR="003C15CA" w:rsidRPr="00B13084" w:rsidRDefault="003C15CA" w:rsidP="003C15CA">
      <w:pPr>
        <w:pStyle w:val="Default"/>
        <w:spacing w:after="185"/>
        <w:rPr>
          <w:rFonts w:asciiTheme="minorHAnsi" w:hAnsiTheme="minorHAnsi" w:cstheme="minorHAnsi"/>
          <w:b/>
          <w:bCs/>
          <w:sz w:val="22"/>
          <w:szCs w:val="22"/>
        </w:rPr>
      </w:pPr>
    </w:p>
    <w:p w14:paraId="369154ED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8. Nagrody </w:t>
      </w:r>
    </w:p>
    <w:p w14:paraId="0073E8D6" w14:textId="26BD81BC" w:rsidR="003C15CA" w:rsidRPr="00B13084" w:rsidRDefault="00B13084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Zdobywcy pierwszych trzech miejsc w każdej z kategorii otrzymają statuetki oraz tytuł, odpowiednio: Złota Szkoła, Złote Przedszkole, Złota Firma/Instytucja, Złoty Człowiek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862458A" w14:textId="3BD42D70" w:rsidR="003C15CA" w:rsidRPr="00B13084" w:rsidRDefault="00B13084" w:rsidP="000C28D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Zdobywcy pierwszych miejsc w czterech kategoriach otrzymają nagrody sfinansowane przez </w:t>
      </w:r>
      <w:r w:rsidR="000C28D7">
        <w:rPr>
          <w:rFonts w:asciiTheme="minorHAnsi" w:hAnsiTheme="minorHAnsi" w:cstheme="minorHAnsi"/>
          <w:sz w:val="22"/>
          <w:szCs w:val="22"/>
        </w:rPr>
        <w:t>Mazowiecki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Oddział Okręgowy PCK. </w:t>
      </w:r>
    </w:p>
    <w:p w14:paraId="3B10B653" w14:textId="0FC317D1" w:rsidR="003C15CA" w:rsidRPr="00B13084" w:rsidRDefault="00B13084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Wszyscy uczestnicy konkursu otrzymają dyplom potwierdzający uczestnictwo i zaangażowanie w zbiórkę złotych monet. </w:t>
      </w:r>
    </w:p>
    <w:p w14:paraId="0B2F5137" w14:textId="0CA4275D" w:rsidR="003C15CA" w:rsidRPr="00B13084" w:rsidRDefault="00B13084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Wręczenie nagród odbędzie się podczas uroczystego podsumowania konkursu w czerwcu </w:t>
      </w:r>
      <w:r w:rsidR="000C28D7">
        <w:rPr>
          <w:rFonts w:asciiTheme="minorHAnsi" w:hAnsiTheme="minorHAnsi" w:cstheme="minorHAnsi"/>
          <w:sz w:val="22"/>
          <w:szCs w:val="22"/>
        </w:rPr>
        <w:t xml:space="preserve">a 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dokładny adres i godzina zostaną przekazane uczestnikom do dnia </w:t>
      </w:r>
      <w:r w:rsidR="000C28D7">
        <w:rPr>
          <w:rFonts w:asciiTheme="minorHAnsi" w:hAnsiTheme="minorHAnsi" w:cstheme="minorHAnsi"/>
          <w:sz w:val="22"/>
          <w:szCs w:val="22"/>
        </w:rPr>
        <w:t>15 czerwca.</w:t>
      </w:r>
    </w:p>
    <w:p w14:paraId="314B7443" w14:textId="77777777" w:rsidR="003C15CA" w:rsidRPr="00B13084" w:rsidRDefault="003C15CA" w:rsidP="003C15CA">
      <w:pPr>
        <w:pStyle w:val="Default"/>
        <w:spacing w:after="183"/>
        <w:rPr>
          <w:rFonts w:asciiTheme="minorHAnsi" w:hAnsiTheme="minorHAnsi" w:cstheme="minorHAnsi"/>
          <w:b/>
          <w:bCs/>
          <w:sz w:val="22"/>
          <w:szCs w:val="22"/>
        </w:rPr>
      </w:pPr>
    </w:p>
    <w:p w14:paraId="36B7FA8B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9. Postanowienia końcowe </w:t>
      </w:r>
    </w:p>
    <w:p w14:paraId="4B1375EB" w14:textId="3DF6659B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3C15CA" w:rsidRPr="00B13084">
        <w:rPr>
          <w:rFonts w:asciiTheme="minorHAnsi" w:hAnsiTheme="minorHAnsi" w:cstheme="minorHAnsi"/>
          <w:sz w:val="22"/>
          <w:szCs w:val="22"/>
        </w:rPr>
        <w:t>Organizator zastrzega sobie prawo do przyznania wyróżnień w każdej z kategorii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9FA6E4" w14:textId="40CCC013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Niewypełnienie lub złamanie przez Uczestnika któregokolwiek z wymogów niniejszego Regulaminu stanowi podstawę do wykluczenia z udziału w Konkursie. Decyzję o wykluczeniu podejmuje Komisja Konkursowa. </w:t>
      </w:r>
    </w:p>
    <w:p w14:paraId="3BD24F98" w14:textId="110B0C11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Odpowiedzi na pytania związane z Konkursem udziel</w:t>
      </w:r>
      <w:r w:rsidR="000C28D7">
        <w:rPr>
          <w:rFonts w:asciiTheme="minorHAnsi" w:hAnsiTheme="minorHAnsi" w:cstheme="minorHAnsi"/>
          <w:sz w:val="22"/>
          <w:szCs w:val="22"/>
        </w:rPr>
        <w:t>ają pracownicy biura PCK w Warszawie.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446119" w14:textId="6020C4DE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W kwestiach spornych nieobjętych postanowieniami Regulaminu głos decydujący należy do Komisji Konkursowej. </w:t>
      </w:r>
    </w:p>
    <w:p w14:paraId="719698A0" w14:textId="43A15D6F" w:rsidR="003D3894" w:rsidRPr="00B13084" w:rsidRDefault="003D3894" w:rsidP="003C15CA">
      <w:pPr>
        <w:jc w:val="both"/>
        <w:rPr>
          <w:rFonts w:asciiTheme="minorHAnsi" w:hAnsiTheme="minorHAnsi" w:cstheme="minorHAnsi"/>
        </w:rPr>
      </w:pPr>
    </w:p>
    <w:p w14:paraId="208A3BF3" w14:textId="722A9DD6" w:rsidR="007C584D" w:rsidRPr="00B13084" w:rsidRDefault="007C584D" w:rsidP="003C15CA">
      <w:pPr>
        <w:jc w:val="both"/>
        <w:rPr>
          <w:rFonts w:asciiTheme="minorHAnsi" w:hAnsiTheme="minorHAnsi" w:cstheme="minorHAnsi"/>
        </w:rPr>
      </w:pPr>
    </w:p>
    <w:p w14:paraId="67F5FC4C" w14:textId="62DCDCA1" w:rsidR="007C584D" w:rsidRPr="00B13084" w:rsidRDefault="007C584D" w:rsidP="003C15CA">
      <w:pPr>
        <w:jc w:val="both"/>
        <w:rPr>
          <w:rFonts w:asciiTheme="minorHAnsi" w:hAnsiTheme="minorHAnsi" w:cstheme="minorHAnsi"/>
        </w:rPr>
      </w:pPr>
    </w:p>
    <w:p w14:paraId="4E08F157" w14:textId="481F832D" w:rsidR="007C584D" w:rsidRPr="00B13084" w:rsidRDefault="007C584D" w:rsidP="003C15CA">
      <w:pPr>
        <w:jc w:val="both"/>
        <w:rPr>
          <w:rFonts w:asciiTheme="minorHAnsi" w:hAnsiTheme="minorHAnsi" w:cstheme="minorHAnsi"/>
        </w:rPr>
      </w:pPr>
    </w:p>
    <w:p w14:paraId="7BF836C0" w14:textId="6FDA96A1" w:rsidR="007C584D" w:rsidRDefault="007C584D" w:rsidP="003C15CA">
      <w:pPr>
        <w:jc w:val="both"/>
        <w:rPr>
          <w:rFonts w:asciiTheme="minorHAnsi" w:hAnsiTheme="minorHAnsi" w:cstheme="minorHAnsi"/>
        </w:rPr>
      </w:pPr>
    </w:p>
    <w:p w14:paraId="396A1B40" w14:textId="71E6F05E" w:rsidR="003C15CA" w:rsidRPr="00B13084" w:rsidRDefault="003C15CA" w:rsidP="003C15CA">
      <w:pPr>
        <w:jc w:val="both"/>
        <w:rPr>
          <w:rFonts w:asciiTheme="minorHAnsi" w:hAnsiTheme="minorHAnsi" w:cstheme="minorHAnsi"/>
        </w:rPr>
      </w:pPr>
    </w:p>
    <w:sectPr w:rsidR="003C15CA" w:rsidRPr="00B13084" w:rsidSect="003C15CA">
      <w:pgSz w:w="12240" w:h="16340"/>
      <w:pgMar w:top="716" w:right="1183" w:bottom="469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77440C"/>
    <w:multiLevelType w:val="hybridMultilevel"/>
    <w:tmpl w:val="7A809C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7E7D7C1C"/>
    <w:multiLevelType w:val="hybridMultilevel"/>
    <w:tmpl w:val="FE65DE7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CA"/>
    <w:rsid w:val="000C28D7"/>
    <w:rsid w:val="00127C78"/>
    <w:rsid w:val="00160714"/>
    <w:rsid w:val="00327DAF"/>
    <w:rsid w:val="003C15CA"/>
    <w:rsid w:val="003D3894"/>
    <w:rsid w:val="007C584D"/>
    <w:rsid w:val="00A23E5D"/>
    <w:rsid w:val="00A67B19"/>
    <w:rsid w:val="00AA1FFE"/>
    <w:rsid w:val="00B13084"/>
    <w:rsid w:val="00BE4DD3"/>
    <w:rsid w:val="00C307F2"/>
    <w:rsid w:val="00D41CA0"/>
    <w:rsid w:val="00E127FB"/>
    <w:rsid w:val="00ED05A1"/>
    <w:rsid w:val="00EE68A7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5965"/>
  <w15:chartTrackingRefBased/>
  <w15:docId w15:val="{4AD11FFD-A954-40ED-82AE-C4ABD847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5C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15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semiHidden/>
    <w:unhideWhenUsed/>
    <w:rsid w:val="003C15CA"/>
    <w:rPr>
      <w:rFonts w:ascii="Times New Roman" w:hAnsi="Times New Roman" w:cs="Times New Roman" w:hint="default"/>
      <w:color w:val="0000FF"/>
      <w:u w:val="single"/>
    </w:rPr>
  </w:style>
  <w:style w:type="paragraph" w:customStyle="1" w:styleId="Bezodstpw1">
    <w:name w:val="Bez odstępów1"/>
    <w:rsid w:val="003C15C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Bezodstpw2">
    <w:name w:val="Bez odstępów2"/>
    <w:rsid w:val="007C584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CBE5CEF4656F4B91AAE5E6699DF5C5" ma:contentTypeVersion="12" ma:contentTypeDescription="Utwórz nowy dokument." ma:contentTypeScope="" ma:versionID="1292b34437f4e8b3993620d5f5eedc2f">
  <xsd:schema xmlns:xsd="http://www.w3.org/2001/XMLSchema" xmlns:xs="http://www.w3.org/2001/XMLSchema" xmlns:p="http://schemas.microsoft.com/office/2006/metadata/properties" xmlns:ns3="989d014d-82d7-4e41-ad25-2aeb3aa1343f" xmlns:ns4="d131f8cd-2bd9-4e35-bfcb-95607ad64507" targetNamespace="http://schemas.microsoft.com/office/2006/metadata/properties" ma:root="true" ma:fieldsID="8cd5fa2e49c67b61344b5b6dd4a38311" ns3:_="" ns4:_="">
    <xsd:import namespace="989d014d-82d7-4e41-ad25-2aeb3aa1343f"/>
    <xsd:import namespace="d131f8cd-2bd9-4e35-bfcb-95607ad645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014d-82d7-4e41-ad25-2aeb3aa13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f8cd-2bd9-4e35-bfcb-95607ad64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F7641-DBBD-4910-BB77-34D6C64D2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DA5A4-114F-4809-B075-11EB4E07E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0B5D1E-EEAD-4A34-81D8-8FE76D22F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d014d-82d7-4e41-ad25-2aeb3aa1343f"/>
    <ds:schemaRef ds:uri="d131f8cd-2bd9-4e35-bfcb-95607ad64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 Czerwony Krzyz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Okoń</dc:creator>
  <cp:keywords/>
  <dc:description/>
  <cp:lastModifiedBy>Alicja Bogiel</cp:lastModifiedBy>
  <cp:revision>3</cp:revision>
  <dcterms:created xsi:type="dcterms:W3CDTF">2025-02-28T10:20:00Z</dcterms:created>
  <dcterms:modified xsi:type="dcterms:W3CDTF">2025-02-28T10:27:00Z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0x01010082CBE5CEF4656F4B91AAE5E6699DF5C5</vt:lpwstr>
  </property>
</Properties>
</file>